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25A54" w14:textId="77777777" w:rsidR="00EA0E1C" w:rsidRDefault="00EA0E1C" w:rsidP="00785AF2">
      <w:pPr>
        <w:pStyle w:val="TableParagraph"/>
        <w:spacing w:before="5"/>
        <w:jc w:val="left"/>
        <w:rPr>
          <w:rFonts w:ascii="Garamond" w:hAnsi="Garamond"/>
          <w:b/>
          <w:w w:val="105"/>
          <w:sz w:val="24"/>
          <w:szCs w:val="24"/>
        </w:rPr>
        <w:sectPr w:rsidR="00EA0E1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DA1EAC7" w14:textId="77777777" w:rsidR="00EA0E1C" w:rsidRDefault="00EA0E1C" w:rsidP="00785AF2">
      <w:pPr>
        <w:pStyle w:val="TableParagraph"/>
        <w:spacing w:before="5"/>
        <w:jc w:val="left"/>
        <w:rPr>
          <w:rFonts w:ascii="Garamond" w:hAnsi="Garamond"/>
          <w:b/>
          <w:w w:val="105"/>
          <w:sz w:val="24"/>
          <w:szCs w:val="24"/>
        </w:rPr>
        <w:sectPr w:rsidR="00EA0E1C" w:rsidSect="00EA0E1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Normal1"/>
        <w:tblpPr w:leftFromText="141" w:rightFromText="141" w:horzAnchor="page" w:tblpX="421" w:tblpY="-984"/>
        <w:tblW w:w="11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94"/>
      </w:tblGrid>
      <w:tr w:rsidR="00785AF2" w:rsidRPr="00B41165" w14:paraId="267C9CA8" w14:textId="77777777" w:rsidTr="00B41165">
        <w:trPr>
          <w:trHeight w:val="605"/>
        </w:trPr>
        <w:tc>
          <w:tcPr>
            <w:tcW w:w="11194" w:type="dxa"/>
            <w:shd w:val="clear" w:color="auto" w:fill="auto"/>
          </w:tcPr>
          <w:p w14:paraId="1A92CE3E" w14:textId="0E903730" w:rsidR="00785AF2" w:rsidRPr="00B41165" w:rsidRDefault="00785AF2" w:rsidP="00785AF2">
            <w:pPr>
              <w:pStyle w:val="TableParagraph"/>
              <w:spacing w:before="5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Ejemplo de aplicación 5</w:t>
            </w:r>
            <w:r w:rsidR="00A4696F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 xml:space="preserve"> </w:t>
            </w:r>
            <w:r w:rsidR="00A4696F" w:rsidRPr="00EA0E1C">
              <w:rPr>
                <w:rStyle w:val="FootnoteReference"/>
                <w:rFonts w:ascii="Garamond" w:hAnsi="Garamond"/>
                <w:b/>
                <w:w w:val="105"/>
                <w:sz w:val="24"/>
                <w:szCs w:val="24"/>
                <w:lang w:val="es-ES"/>
              </w:rPr>
              <w:footnoteReference w:id="1"/>
            </w:r>
          </w:p>
          <w:p w14:paraId="0CFECFF5" w14:textId="77777777" w:rsidR="00785AF2" w:rsidRPr="00B41165" w:rsidRDefault="00785AF2" w:rsidP="00785AF2">
            <w:pPr>
              <w:pStyle w:val="TableParagraph"/>
              <w:spacing w:before="44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Evaluación de si la entidad continúa siendo una empresa en marcha</w:t>
            </w:r>
          </w:p>
        </w:tc>
      </w:tr>
      <w:tr w:rsidR="00785AF2" w:rsidRPr="00B41165" w14:paraId="20EB86DF" w14:textId="77777777" w:rsidTr="00785AF2">
        <w:trPr>
          <w:trHeight w:val="5476"/>
        </w:trPr>
        <w:tc>
          <w:tcPr>
            <w:tcW w:w="11194" w:type="dxa"/>
          </w:tcPr>
          <w:p w14:paraId="33911075" w14:textId="77777777" w:rsidR="00B41165" w:rsidRDefault="00785AF2" w:rsidP="00785AF2">
            <w:pPr>
              <w:pStyle w:val="TableParagraph"/>
              <w:ind w:left="0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b/>
                <w:sz w:val="24"/>
                <w:szCs w:val="24"/>
                <w:lang w:val="es-ES"/>
              </w:rPr>
              <w:t xml:space="preserve"> </w:t>
            </w:r>
            <w:bookmarkStart w:id="0" w:name="_GoBack"/>
            <w:bookmarkEnd w:id="0"/>
          </w:p>
          <w:p w14:paraId="1592AAC8" w14:textId="5F311E8F" w:rsidR="00785AF2" w:rsidRPr="00B41165" w:rsidRDefault="00B41165" w:rsidP="00785AF2">
            <w:pPr>
              <w:pStyle w:val="TableParagraph"/>
              <w:ind w:left="0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 xml:space="preserve"> </w:t>
            </w:r>
            <w:r w:rsidR="00785AF2" w:rsidRPr="00B41165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Contexto</w:t>
            </w:r>
          </w:p>
          <w:p w14:paraId="74AAD8D4" w14:textId="77777777" w:rsidR="00B41165" w:rsidRDefault="00B41165" w:rsidP="00785AF2">
            <w:pPr>
              <w:pStyle w:val="TableParagraph"/>
              <w:spacing w:before="41" w:line="285" w:lineRule="auto"/>
              <w:ind w:left="100" w:right="85"/>
              <w:rPr>
                <w:rFonts w:ascii="Garamond" w:hAnsi="Garamond"/>
                <w:w w:val="105"/>
                <w:sz w:val="24"/>
                <w:szCs w:val="24"/>
                <w:lang w:val="es-ES"/>
              </w:rPr>
            </w:pPr>
          </w:p>
          <w:p w14:paraId="36AE74A7" w14:textId="43D79B1D" w:rsidR="00785AF2" w:rsidRPr="00B41165" w:rsidRDefault="00785AF2" w:rsidP="00785AF2">
            <w:pPr>
              <w:pStyle w:val="TableParagraph"/>
              <w:spacing w:before="41" w:line="285" w:lineRule="auto"/>
              <w:ind w:left="100" w:right="85"/>
              <w:rPr>
                <w:rFonts w:ascii="Garamond" w:hAnsi="Garamond"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B41165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entidad</w:t>
            </w:r>
            <w:r w:rsidRPr="00B41165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“C”</w:t>
            </w:r>
            <w:r w:rsidRPr="00B41165">
              <w:rPr>
                <w:rFonts w:ascii="Garamond" w:hAnsi="Garamond"/>
                <w:spacing w:val="-11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se</w:t>
            </w:r>
            <w:r w:rsidRPr="00B41165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encuentra</w:t>
            </w:r>
            <w:r w:rsidRPr="00B41165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preparando</w:t>
            </w:r>
            <w:r w:rsidRPr="00B41165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sus</w:t>
            </w:r>
            <w:r w:rsidRPr="00B41165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estados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contables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al</w:t>
            </w:r>
            <w:r w:rsidRPr="00B41165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31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B41165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diciembre</w:t>
            </w:r>
            <w:r w:rsidRPr="00B41165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 2019.</w:t>
            </w:r>
            <w:r w:rsidRPr="00B41165">
              <w:rPr>
                <w:rFonts w:ascii="Garamond" w:hAnsi="Garamond"/>
                <w:spacing w:val="-2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Dado</w:t>
            </w:r>
            <w:r w:rsidR="00A4696F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</w:t>
            </w:r>
            <w:r w:rsidRPr="00B41165">
              <w:rPr>
                <w:rFonts w:ascii="Garamond" w:hAnsi="Garamond"/>
                <w:spacing w:val="-2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efectos</w:t>
            </w:r>
            <w:r w:rsidRPr="00B41165">
              <w:rPr>
                <w:rFonts w:ascii="Garamond" w:hAnsi="Garamond"/>
                <w:spacing w:val="-2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negativos</w:t>
            </w:r>
            <w:r w:rsidRPr="00B41165">
              <w:rPr>
                <w:rFonts w:ascii="Garamond" w:hAnsi="Garamond"/>
                <w:spacing w:val="-2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Pr="00B41165">
              <w:rPr>
                <w:rFonts w:ascii="Garamond" w:hAnsi="Garamond"/>
                <w:spacing w:val="-2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espera</w:t>
            </w:r>
            <w:r w:rsidRPr="00B41165">
              <w:rPr>
                <w:rFonts w:ascii="Garamond" w:hAnsi="Garamond"/>
                <w:spacing w:val="-2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Pr="00B41165">
              <w:rPr>
                <w:rFonts w:ascii="Garamond" w:hAnsi="Garamond"/>
                <w:spacing w:val="-2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tendrán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las</w:t>
            </w:r>
            <w:r w:rsidRPr="00B41165">
              <w:rPr>
                <w:rFonts w:ascii="Garamond" w:hAnsi="Garamond"/>
                <w:spacing w:val="-2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consecuencias</w:t>
            </w:r>
            <w:r w:rsidRPr="00B41165">
              <w:rPr>
                <w:rFonts w:ascii="Garamond" w:hAnsi="Garamond"/>
                <w:spacing w:val="-2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del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brote de COVID-19, los administradores de la entidad evalúan si la entidad “C” continúa siendo una empresa en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marcha.</w:t>
            </w:r>
          </w:p>
          <w:p w14:paraId="5DBDF4C5" w14:textId="77777777" w:rsidR="00785AF2" w:rsidRPr="00B41165" w:rsidRDefault="00785AF2" w:rsidP="00785AF2">
            <w:pPr>
              <w:pStyle w:val="TableParagraph"/>
              <w:spacing w:before="9"/>
              <w:ind w:left="0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</w:p>
          <w:p w14:paraId="5B641C0E" w14:textId="77777777" w:rsidR="00785AF2" w:rsidRPr="00B41165" w:rsidRDefault="00785AF2" w:rsidP="00785AF2">
            <w:pPr>
              <w:pStyle w:val="TableParagraph"/>
              <w:ind w:left="100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Aplicación de juicios por parte de los administradores</w:t>
            </w:r>
          </w:p>
          <w:p w14:paraId="03E49714" w14:textId="77777777" w:rsidR="00B41165" w:rsidRDefault="00B41165" w:rsidP="00785AF2">
            <w:pPr>
              <w:pStyle w:val="TableParagraph"/>
              <w:spacing w:before="46" w:line="283" w:lineRule="auto"/>
              <w:ind w:left="100" w:right="87"/>
              <w:rPr>
                <w:rFonts w:ascii="Garamond" w:hAnsi="Garamond"/>
                <w:w w:val="105"/>
                <w:sz w:val="24"/>
                <w:szCs w:val="24"/>
                <w:lang w:val="es-ES"/>
              </w:rPr>
            </w:pPr>
          </w:p>
          <w:p w14:paraId="2A9533E8" w14:textId="594D41DD" w:rsidR="00785AF2" w:rsidRPr="00B41165" w:rsidRDefault="00785AF2" w:rsidP="00785AF2">
            <w:pPr>
              <w:pStyle w:val="TableParagraph"/>
              <w:spacing w:before="46" w:line="283" w:lineRule="auto"/>
              <w:ind w:left="100" w:right="87"/>
              <w:rPr>
                <w:rFonts w:ascii="Garamond" w:hAnsi="Garamond"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 administradores de la entidad llegan a la conclusión de que no existen incertidumbres de que sea una empresa en marcha, en base a los siguientes fundamentos:</w:t>
            </w:r>
          </w:p>
          <w:p w14:paraId="38F5178F" w14:textId="77777777" w:rsidR="00785AF2" w:rsidRPr="00B41165" w:rsidRDefault="00785AF2" w:rsidP="00785AF2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spacing w:before="3" w:line="285" w:lineRule="auto"/>
              <w:ind w:right="88"/>
              <w:rPr>
                <w:rFonts w:ascii="Garamond" w:hAnsi="Garamond"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B41165">
              <w:rPr>
                <w:rFonts w:ascii="Garamond" w:hAnsi="Garamond"/>
                <w:spacing w:val="-2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demanda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B41165">
              <w:rPr>
                <w:rFonts w:ascii="Garamond" w:hAnsi="Garamond"/>
                <w:spacing w:val="-2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bienes</w:t>
            </w:r>
            <w:r w:rsidRPr="00B41165">
              <w:rPr>
                <w:rFonts w:ascii="Garamond" w:hAnsi="Garamond"/>
                <w:spacing w:val="-2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comercializa</w:t>
            </w:r>
            <w:r w:rsidRPr="00B41165">
              <w:rPr>
                <w:rFonts w:ascii="Garamond" w:hAnsi="Garamond"/>
                <w:spacing w:val="-2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entidad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“C”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(productos</w:t>
            </w:r>
            <w:r w:rsidRPr="00B41165">
              <w:rPr>
                <w:rFonts w:ascii="Garamond" w:hAnsi="Garamond"/>
                <w:spacing w:val="-2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alimenticios) se</w:t>
            </w:r>
            <w:r w:rsidRPr="00B41165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vio</w:t>
            </w:r>
            <w:r w:rsidRPr="00B41165">
              <w:rPr>
                <w:rFonts w:ascii="Garamond" w:hAnsi="Garamond"/>
                <w:spacing w:val="-10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incrementada</w:t>
            </w:r>
            <w:r w:rsidRPr="00B41165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durante</w:t>
            </w:r>
            <w:r w:rsidRPr="00B41165">
              <w:rPr>
                <w:rFonts w:ascii="Garamond" w:hAnsi="Garamond"/>
                <w:spacing w:val="-10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</w:t>
            </w:r>
            <w:r w:rsidRPr="00B41165">
              <w:rPr>
                <w:rFonts w:ascii="Garamond" w:hAnsi="Garamond"/>
                <w:spacing w:val="-11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primeros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días</w:t>
            </w:r>
            <w:r w:rsidRPr="00B41165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del</w:t>
            </w:r>
            <w:r w:rsidRPr="00B41165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aislamiento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social</w:t>
            </w:r>
            <w:r w:rsidRPr="00B41165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preventivo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y obligatorio dispuesto por el Poder Ejecutivo</w:t>
            </w:r>
            <w:r w:rsidRPr="00B41165">
              <w:rPr>
                <w:rFonts w:ascii="Garamond" w:hAnsi="Garamond"/>
                <w:spacing w:val="-2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Nacional.</w:t>
            </w:r>
          </w:p>
          <w:p w14:paraId="2D959F58" w14:textId="77777777" w:rsidR="00785AF2" w:rsidRPr="00B41165" w:rsidRDefault="00785AF2" w:rsidP="00785AF2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spacing w:line="285" w:lineRule="auto"/>
              <w:ind w:right="87"/>
              <w:rPr>
                <w:rFonts w:ascii="Garamond" w:hAnsi="Garamond"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No</w:t>
            </w:r>
            <w:r w:rsidRPr="00B41165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obstante,</w:t>
            </w:r>
            <w:r w:rsidRPr="00B41165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el</w:t>
            </w:r>
            <w:r w:rsidRPr="00B41165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principal</w:t>
            </w:r>
            <w:r w:rsidRPr="00B41165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efecto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negativo</w:t>
            </w:r>
            <w:r w:rsidRPr="00B41165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los</w:t>
            </w:r>
            <w:r w:rsidRPr="00B41165">
              <w:rPr>
                <w:rFonts w:ascii="Garamond" w:hAnsi="Garamond"/>
                <w:spacing w:val="-13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administradores</w:t>
            </w:r>
            <w:r w:rsidRPr="00B41165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“C”</w:t>
            </w:r>
            <w:r w:rsidRPr="00B41165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advierten se relaciona a la gestión de liquidez de corto plazo, habida cuenta de la interrupción de la cadena de</w:t>
            </w:r>
            <w:r w:rsidRPr="00B41165">
              <w:rPr>
                <w:rFonts w:ascii="Garamond" w:hAnsi="Garamond"/>
                <w:spacing w:val="-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pagos.</w:t>
            </w:r>
          </w:p>
          <w:p w14:paraId="600EB701" w14:textId="77777777" w:rsidR="00785AF2" w:rsidRPr="00B41165" w:rsidRDefault="00785AF2" w:rsidP="00785AF2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spacing w:line="283" w:lineRule="auto"/>
              <w:ind w:left="439" w:right="87"/>
              <w:rPr>
                <w:rFonts w:ascii="Garamond" w:hAnsi="Garamond"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Por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otro</w:t>
            </w:r>
            <w:r w:rsidRPr="00B41165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lado,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existen</w:t>
            </w:r>
            <w:r w:rsidRPr="00B41165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efectos</w:t>
            </w:r>
            <w:r w:rsidRPr="00B41165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menores</w:t>
            </w:r>
            <w:r w:rsidRPr="00B41165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relacionados</w:t>
            </w:r>
            <w:r w:rsidRPr="00B41165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</w:t>
            </w:r>
            <w:r w:rsidRPr="00B41165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algunos</w:t>
            </w:r>
            <w:r w:rsidRPr="00B41165">
              <w:rPr>
                <w:rFonts w:ascii="Garamond" w:hAnsi="Garamond"/>
                <w:spacing w:val="-20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insumos,</w:t>
            </w:r>
            <w:r w:rsidRPr="00B41165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se espera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que</w:t>
            </w:r>
            <w:r w:rsidRPr="00B41165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vuelvan</w:t>
            </w:r>
            <w:r w:rsidRPr="00B41165">
              <w:rPr>
                <w:rFonts w:ascii="Garamond" w:hAnsi="Garamond"/>
                <w:spacing w:val="-11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</w:t>
            </w:r>
            <w:r w:rsidRPr="00B41165">
              <w:rPr>
                <w:rFonts w:ascii="Garamond" w:hAnsi="Garamond"/>
                <w:spacing w:val="-10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un</w:t>
            </w:r>
            <w:r w:rsidRPr="00B41165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nivel</w:t>
            </w:r>
            <w:r w:rsidRPr="00B41165">
              <w:rPr>
                <w:rFonts w:ascii="Garamond" w:hAnsi="Garamond"/>
                <w:spacing w:val="-11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habitual</w:t>
            </w:r>
            <w:r w:rsidRPr="00B41165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una</w:t>
            </w:r>
            <w:r w:rsidRPr="00B41165">
              <w:rPr>
                <w:rFonts w:ascii="Garamond" w:hAnsi="Garamond"/>
                <w:spacing w:val="-11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vez</w:t>
            </w:r>
            <w:r w:rsidRPr="00B41165">
              <w:rPr>
                <w:rFonts w:ascii="Garamond" w:hAnsi="Garamond"/>
                <w:spacing w:val="-10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superada</w:t>
            </w:r>
            <w:r w:rsidRPr="00B41165">
              <w:rPr>
                <w:rFonts w:ascii="Garamond" w:hAnsi="Garamond"/>
                <w:spacing w:val="-11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B41165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fase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más</w:t>
            </w:r>
            <w:r w:rsidRPr="00B41165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crítica</w:t>
            </w:r>
            <w:r w:rsidRPr="00B41165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B41165">
              <w:rPr>
                <w:rFonts w:ascii="Garamond" w:hAnsi="Garamond"/>
                <w:spacing w:val="-12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 crisis</w:t>
            </w:r>
            <w:r w:rsidRPr="00B41165">
              <w:rPr>
                <w:rFonts w:ascii="Garamond" w:hAnsi="Garamond"/>
                <w:spacing w:val="-1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sanitaria.</w:t>
            </w:r>
          </w:p>
          <w:p w14:paraId="2F8F7882" w14:textId="77777777" w:rsidR="00785AF2" w:rsidRPr="00B41165" w:rsidRDefault="00785AF2" w:rsidP="00785AF2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spacing w:line="283" w:lineRule="auto"/>
              <w:ind w:right="87"/>
              <w:rPr>
                <w:rFonts w:ascii="Garamond" w:hAnsi="Garamond"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 empresa presenta un perfil de deuda sostenible, y cuenta con fuentes de financiación para cubrir cualquier eventual disrupción futura en su flujo de caja, que</w:t>
            </w:r>
            <w:r w:rsidRPr="00B41165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le</w:t>
            </w:r>
            <w:r w:rsidRPr="00B41165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permitiría</w:t>
            </w:r>
            <w:r w:rsidRPr="00B41165">
              <w:rPr>
                <w:rFonts w:ascii="Garamond" w:hAnsi="Garamond"/>
                <w:spacing w:val="-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diseñar</w:t>
            </w:r>
            <w:r w:rsidRPr="00B41165">
              <w:rPr>
                <w:rFonts w:ascii="Garamond" w:hAnsi="Garamond"/>
                <w:spacing w:val="-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estrategias</w:t>
            </w:r>
            <w:r w:rsidRPr="00B41165">
              <w:rPr>
                <w:rFonts w:ascii="Garamond" w:hAnsi="Garamond"/>
                <w:spacing w:val="-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alternativas</w:t>
            </w:r>
            <w:r w:rsidRPr="00B41165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para</w:t>
            </w:r>
            <w:r w:rsidRPr="00B41165">
              <w:rPr>
                <w:rFonts w:ascii="Garamond" w:hAnsi="Garamond"/>
                <w:spacing w:val="-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gestionar</w:t>
            </w:r>
            <w:r w:rsidRPr="00B41165">
              <w:rPr>
                <w:rFonts w:ascii="Garamond" w:hAnsi="Garamond"/>
                <w:spacing w:val="-10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su</w:t>
            </w:r>
            <w:r w:rsidRPr="00B41165">
              <w:rPr>
                <w:rFonts w:ascii="Garamond" w:hAnsi="Garamond"/>
                <w:spacing w:val="-8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liquidez.</w:t>
            </w:r>
          </w:p>
          <w:p w14:paraId="2E0ED038" w14:textId="77777777" w:rsidR="00785AF2" w:rsidRPr="00B41165" w:rsidRDefault="00785AF2" w:rsidP="00785AF2">
            <w:pPr>
              <w:pStyle w:val="TableParagraph"/>
              <w:spacing w:before="7"/>
              <w:ind w:left="0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</w:p>
          <w:p w14:paraId="0956C8A4" w14:textId="00BC72BF" w:rsidR="00785AF2" w:rsidRPr="00B41165" w:rsidRDefault="00785AF2" w:rsidP="00785AF2">
            <w:pPr>
              <w:pStyle w:val="TableParagraph"/>
              <w:ind w:left="100"/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Base de preparación</w:t>
            </w:r>
          </w:p>
          <w:p w14:paraId="588ACBD9" w14:textId="77777777" w:rsidR="00B41165" w:rsidRPr="00B41165" w:rsidRDefault="00B41165" w:rsidP="00785AF2">
            <w:pPr>
              <w:pStyle w:val="TableParagraph"/>
              <w:ind w:left="100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</w:p>
          <w:p w14:paraId="615BFC51" w14:textId="77777777" w:rsidR="00785AF2" w:rsidRPr="00B41165" w:rsidRDefault="00785AF2" w:rsidP="00785AF2">
            <w:pPr>
              <w:pStyle w:val="TableParagraph"/>
              <w:spacing w:before="41" w:line="285" w:lineRule="auto"/>
              <w:ind w:left="100" w:right="87"/>
              <w:rPr>
                <w:rFonts w:ascii="Garamond" w:hAnsi="Garamond"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La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entidad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“C”</w:t>
            </w:r>
            <w:r w:rsidRPr="00B41165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preparará</w:t>
            </w:r>
            <w:r w:rsidRPr="00B41165">
              <w:rPr>
                <w:rFonts w:ascii="Garamond" w:hAnsi="Garamond"/>
                <w:spacing w:val="-19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sus</w:t>
            </w:r>
            <w:r w:rsidRPr="00B41165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estados</w:t>
            </w:r>
            <w:r w:rsidRPr="00B41165">
              <w:rPr>
                <w:rFonts w:ascii="Garamond" w:hAnsi="Garamond"/>
                <w:spacing w:val="-16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contables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al</w:t>
            </w:r>
            <w:r w:rsidRPr="00B41165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31</w:t>
            </w:r>
            <w:r w:rsidRPr="00B41165">
              <w:rPr>
                <w:rFonts w:ascii="Garamond" w:hAnsi="Garamond"/>
                <w:spacing w:val="-14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B41165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diciembre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de</w:t>
            </w:r>
            <w:r w:rsidRPr="00B41165">
              <w:rPr>
                <w:rFonts w:ascii="Garamond" w:hAnsi="Garamond"/>
                <w:spacing w:val="-17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2019</w:t>
            </w:r>
            <w:r w:rsidRPr="00B41165">
              <w:rPr>
                <w:rFonts w:ascii="Garamond" w:hAnsi="Garamond"/>
                <w:spacing w:val="-18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utilizando una base de empresa en</w:t>
            </w:r>
            <w:r w:rsidRPr="00B41165">
              <w:rPr>
                <w:rFonts w:ascii="Garamond" w:hAnsi="Garamond"/>
                <w:spacing w:val="-15"/>
                <w:w w:val="105"/>
                <w:sz w:val="24"/>
                <w:szCs w:val="24"/>
                <w:lang w:val="es-ES"/>
              </w:rPr>
              <w:t xml:space="preserve"> </w:t>
            </w:r>
            <w:r w:rsidRPr="00B41165">
              <w:rPr>
                <w:rFonts w:ascii="Garamond" w:hAnsi="Garamond"/>
                <w:w w:val="105"/>
                <w:sz w:val="24"/>
                <w:szCs w:val="24"/>
                <w:lang w:val="es-ES"/>
              </w:rPr>
              <w:t>marcha.</w:t>
            </w:r>
          </w:p>
        </w:tc>
      </w:tr>
    </w:tbl>
    <w:p w14:paraId="6016AAF1" w14:textId="70E4352E" w:rsidR="00A833F7" w:rsidRPr="00B41165" w:rsidRDefault="00A833F7">
      <w:pPr>
        <w:rPr>
          <w:rFonts w:ascii="Garamond" w:hAnsi="Garamond"/>
        </w:rPr>
      </w:pPr>
    </w:p>
    <w:p w14:paraId="7DD91E44" w14:textId="0D6B20F3" w:rsidR="00B41165" w:rsidRDefault="00B41165">
      <w:pPr>
        <w:rPr>
          <w:rFonts w:ascii="Garamond" w:hAnsi="Garamond"/>
        </w:rPr>
      </w:pPr>
    </w:p>
    <w:tbl>
      <w:tblPr>
        <w:tblStyle w:val="TableNormal1"/>
        <w:tblpPr w:leftFromText="141" w:rightFromText="141" w:vertAnchor="page" w:horzAnchor="margin" w:tblpXSpec="center" w:tblpY="9651"/>
        <w:tblW w:w="11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2"/>
      </w:tblGrid>
      <w:tr w:rsidR="00B41165" w:rsidRPr="00B41165" w14:paraId="5A2572A7" w14:textId="77777777" w:rsidTr="00B41165">
        <w:trPr>
          <w:trHeight w:val="274"/>
        </w:trPr>
        <w:tc>
          <w:tcPr>
            <w:tcW w:w="11062" w:type="dxa"/>
            <w:shd w:val="clear" w:color="auto" w:fill="auto"/>
          </w:tcPr>
          <w:p w14:paraId="1806DBA8" w14:textId="77777777" w:rsidR="00B41165" w:rsidRPr="00B41165" w:rsidRDefault="00B41165" w:rsidP="00B41165">
            <w:pPr>
              <w:pStyle w:val="TableParagraph"/>
              <w:spacing w:before="44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r w:rsidRPr="00B41165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Evaluación de si la entidad continúa siendo una empresa en marcha</w:t>
            </w:r>
          </w:p>
        </w:tc>
      </w:tr>
      <w:tr w:rsidR="00B41165" w:rsidRPr="00B41165" w14:paraId="7D0AA26C" w14:textId="77777777" w:rsidTr="00B41165">
        <w:trPr>
          <w:trHeight w:val="513"/>
        </w:trPr>
        <w:tc>
          <w:tcPr>
            <w:tcW w:w="11062" w:type="dxa"/>
          </w:tcPr>
          <w:p w14:paraId="69AC5A77" w14:textId="77777777" w:rsidR="00B41165" w:rsidRPr="00B41165" w:rsidRDefault="00B41165" w:rsidP="00B41165">
            <w:pPr>
              <w:pStyle w:val="TableParagraph"/>
              <w:spacing w:before="9"/>
              <w:ind w:left="100"/>
              <w:jc w:val="left"/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</w:pPr>
          </w:p>
          <w:p w14:paraId="1417735B" w14:textId="77777777" w:rsidR="00B41165" w:rsidRPr="00B41165" w:rsidRDefault="00B41165" w:rsidP="00B41165">
            <w:pPr>
              <w:pStyle w:val="TableParagraph"/>
              <w:spacing w:before="9"/>
              <w:ind w:left="100"/>
              <w:jc w:val="left"/>
              <w:rPr>
                <w:rFonts w:ascii="Garamond" w:hAnsi="Garamond"/>
                <w:b/>
                <w:sz w:val="24"/>
                <w:szCs w:val="24"/>
                <w:lang w:val="es-ES"/>
              </w:rPr>
            </w:pPr>
            <w:proofErr w:type="gramStart"/>
            <w:r w:rsidRPr="00B41165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>Nota a incluir</w:t>
            </w:r>
            <w:proofErr w:type="gramEnd"/>
            <w:r w:rsidRPr="00B41165">
              <w:rPr>
                <w:rFonts w:ascii="Garamond" w:hAnsi="Garamond"/>
                <w:b/>
                <w:w w:val="105"/>
                <w:sz w:val="24"/>
                <w:szCs w:val="24"/>
                <w:lang w:val="es-ES"/>
              </w:rPr>
              <w:t xml:space="preserve"> en los estados contables</w:t>
            </w:r>
          </w:p>
          <w:p w14:paraId="62B121A7" w14:textId="77777777" w:rsidR="00B41165" w:rsidRPr="00A4696F" w:rsidRDefault="00B41165" w:rsidP="00B41165">
            <w:pPr>
              <w:pStyle w:val="TableParagraph"/>
              <w:spacing w:before="43"/>
              <w:ind w:left="100"/>
              <w:jc w:val="left"/>
              <w:rPr>
                <w:rFonts w:ascii="Garamond" w:hAnsi="Garamond"/>
                <w:w w:val="105"/>
                <w:sz w:val="24"/>
                <w:szCs w:val="24"/>
                <w:lang w:val="es-AR"/>
              </w:rPr>
            </w:pPr>
          </w:p>
          <w:p w14:paraId="4064FB54" w14:textId="77777777" w:rsidR="00B41165" w:rsidRPr="00B41165" w:rsidRDefault="00B41165" w:rsidP="00B41165">
            <w:pPr>
              <w:pStyle w:val="TableParagraph"/>
              <w:spacing w:before="43"/>
              <w:ind w:left="100"/>
              <w:jc w:val="left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B41165">
              <w:rPr>
                <w:rFonts w:ascii="Garamond" w:hAnsi="Garamond"/>
                <w:w w:val="105"/>
                <w:sz w:val="24"/>
                <w:szCs w:val="24"/>
              </w:rPr>
              <w:t>Ninguna</w:t>
            </w:r>
            <w:proofErr w:type="spellEnd"/>
            <w:r w:rsidRPr="00B41165">
              <w:rPr>
                <w:rFonts w:ascii="Garamond" w:hAnsi="Garamond"/>
                <w:w w:val="105"/>
                <w:sz w:val="24"/>
                <w:szCs w:val="24"/>
              </w:rPr>
              <w:t>.</w:t>
            </w:r>
          </w:p>
        </w:tc>
      </w:tr>
    </w:tbl>
    <w:p w14:paraId="61DBC2B2" w14:textId="46C91E40" w:rsidR="00B41165" w:rsidRDefault="00B41165">
      <w:pPr>
        <w:rPr>
          <w:rFonts w:ascii="Garamond" w:hAnsi="Garamond"/>
        </w:rPr>
      </w:pPr>
    </w:p>
    <w:sectPr w:rsidR="00B41165" w:rsidSect="00EA0E1C">
      <w:footnotePr>
        <w:numFmt w:val="chicago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33D2D" w14:textId="77777777" w:rsidR="009F49E2" w:rsidRDefault="009F49E2" w:rsidP="00A4696F">
      <w:r>
        <w:separator/>
      </w:r>
    </w:p>
  </w:endnote>
  <w:endnote w:type="continuationSeparator" w:id="0">
    <w:p w14:paraId="373B8EFC" w14:textId="77777777" w:rsidR="009F49E2" w:rsidRDefault="009F49E2" w:rsidP="00A4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1B374" w14:textId="77777777" w:rsidR="009F49E2" w:rsidRDefault="009F49E2" w:rsidP="00A4696F">
      <w:r>
        <w:separator/>
      </w:r>
    </w:p>
  </w:footnote>
  <w:footnote w:type="continuationSeparator" w:id="0">
    <w:p w14:paraId="2B286ADF" w14:textId="77777777" w:rsidR="009F49E2" w:rsidRDefault="009F49E2" w:rsidP="00A4696F">
      <w:r>
        <w:continuationSeparator/>
      </w:r>
    </w:p>
  </w:footnote>
  <w:footnote w:id="1">
    <w:p w14:paraId="70236225" w14:textId="1B781C41" w:rsidR="00A4696F" w:rsidRPr="00A4696F" w:rsidRDefault="00A4696F">
      <w:pPr>
        <w:pStyle w:val="FootnoteText"/>
        <w:rPr>
          <w:lang w:val="es-AR"/>
        </w:rPr>
      </w:pPr>
      <w:r>
        <w:rPr>
          <w:rStyle w:val="FootnoteReference"/>
        </w:rPr>
        <w:footnoteRef/>
      </w:r>
      <w:r>
        <w:t xml:space="preserve"> </w:t>
      </w:r>
      <w:r w:rsidRPr="00A4696F">
        <w:rPr>
          <w:rFonts w:ascii="Garamond" w:hAnsi="Garamond"/>
          <w:lang w:val="es-419"/>
        </w:rPr>
        <w:t xml:space="preserve">Este modelo es un reflejo de la GUÍA SOBRE LA APLICACIÓN DE LAS NORMAS DE CONTABILIDAD Y AUDITORÍA FRENTE A LOS EFECTOS DEL COVID-19 que preparó la Comisión Consultiva en temas de Contabilidad y Auditoría (CCCA). Dicha Comisión estuvo integrada por miembros de </w:t>
      </w:r>
      <w:proofErr w:type="spellStart"/>
      <w:r w:rsidRPr="00A4696F">
        <w:rPr>
          <w:rFonts w:ascii="Garamond" w:hAnsi="Garamond"/>
          <w:lang w:val="es-419"/>
        </w:rPr>
        <w:t>CENCyA</w:t>
      </w:r>
      <w:proofErr w:type="spellEnd"/>
      <w:r w:rsidRPr="00A4696F">
        <w:rPr>
          <w:rFonts w:ascii="Garamond" w:hAnsi="Garamond"/>
          <w:lang w:val="es-419"/>
        </w:rPr>
        <w:t xml:space="preserve"> y del CPCECABA. La mencionada Guía fue aprobada por Mesa Directiva de FACPCE.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F5B85"/>
    <w:multiLevelType w:val="hybridMultilevel"/>
    <w:tmpl w:val="85EC1246"/>
    <w:lvl w:ilvl="0" w:tplc="6108D9D2">
      <w:numFmt w:val="bullet"/>
      <w:lvlText w:val=""/>
      <w:lvlJc w:val="left"/>
      <w:pPr>
        <w:ind w:left="438" w:hanging="339"/>
      </w:pPr>
      <w:rPr>
        <w:rFonts w:ascii="Symbol" w:eastAsia="Symbol" w:hAnsi="Symbol" w:cs="Symbol" w:hint="default"/>
        <w:w w:val="103"/>
        <w:sz w:val="20"/>
        <w:szCs w:val="20"/>
        <w:lang w:val="es-ES" w:eastAsia="en-US" w:bidi="ar-SA"/>
      </w:rPr>
    </w:lvl>
    <w:lvl w:ilvl="1" w:tplc="EEC0DD00">
      <w:numFmt w:val="bullet"/>
      <w:lvlText w:val="•"/>
      <w:lvlJc w:val="left"/>
      <w:pPr>
        <w:ind w:left="1193" w:hanging="339"/>
      </w:pPr>
      <w:rPr>
        <w:rFonts w:hint="default"/>
        <w:lang w:val="es-ES" w:eastAsia="en-US" w:bidi="ar-SA"/>
      </w:rPr>
    </w:lvl>
    <w:lvl w:ilvl="2" w:tplc="DB304478">
      <w:numFmt w:val="bullet"/>
      <w:lvlText w:val="•"/>
      <w:lvlJc w:val="left"/>
      <w:pPr>
        <w:ind w:left="1946" w:hanging="339"/>
      </w:pPr>
      <w:rPr>
        <w:rFonts w:hint="default"/>
        <w:lang w:val="es-ES" w:eastAsia="en-US" w:bidi="ar-SA"/>
      </w:rPr>
    </w:lvl>
    <w:lvl w:ilvl="3" w:tplc="1024866A">
      <w:numFmt w:val="bullet"/>
      <w:lvlText w:val="•"/>
      <w:lvlJc w:val="left"/>
      <w:pPr>
        <w:ind w:left="2700" w:hanging="339"/>
      </w:pPr>
      <w:rPr>
        <w:rFonts w:hint="default"/>
        <w:lang w:val="es-ES" w:eastAsia="en-US" w:bidi="ar-SA"/>
      </w:rPr>
    </w:lvl>
    <w:lvl w:ilvl="4" w:tplc="F9D28484">
      <w:numFmt w:val="bullet"/>
      <w:lvlText w:val="•"/>
      <w:lvlJc w:val="left"/>
      <w:pPr>
        <w:ind w:left="3453" w:hanging="339"/>
      </w:pPr>
      <w:rPr>
        <w:rFonts w:hint="default"/>
        <w:lang w:val="es-ES" w:eastAsia="en-US" w:bidi="ar-SA"/>
      </w:rPr>
    </w:lvl>
    <w:lvl w:ilvl="5" w:tplc="54247BD0">
      <w:numFmt w:val="bullet"/>
      <w:lvlText w:val="•"/>
      <w:lvlJc w:val="left"/>
      <w:pPr>
        <w:ind w:left="4207" w:hanging="339"/>
      </w:pPr>
      <w:rPr>
        <w:rFonts w:hint="default"/>
        <w:lang w:val="es-ES" w:eastAsia="en-US" w:bidi="ar-SA"/>
      </w:rPr>
    </w:lvl>
    <w:lvl w:ilvl="6" w:tplc="697C1F32">
      <w:numFmt w:val="bullet"/>
      <w:lvlText w:val="•"/>
      <w:lvlJc w:val="left"/>
      <w:pPr>
        <w:ind w:left="4960" w:hanging="339"/>
      </w:pPr>
      <w:rPr>
        <w:rFonts w:hint="default"/>
        <w:lang w:val="es-ES" w:eastAsia="en-US" w:bidi="ar-SA"/>
      </w:rPr>
    </w:lvl>
    <w:lvl w:ilvl="7" w:tplc="413294D8">
      <w:numFmt w:val="bullet"/>
      <w:lvlText w:val="•"/>
      <w:lvlJc w:val="left"/>
      <w:pPr>
        <w:ind w:left="5713" w:hanging="339"/>
      </w:pPr>
      <w:rPr>
        <w:rFonts w:hint="default"/>
        <w:lang w:val="es-ES" w:eastAsia="en-US" w:bidi="ar-SA"/>
      </w:rPr>
    </w:lvl>
    <w:lvl w:ilvl="8" w:tplc="A5342432">
      <w:numFmt w:val="bullet"/>
      <w:lvlText w:val="•"/>
      <w:lvlJc w:val="left"/>
      <w:pPr>
        <w:ind w:left="6467" w:hanging="339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AF2"/>
    <w:rsid w:val="002E3B5C"/>
    <w:rsid w:val="006701B6"/>
    <w:rsid w:val="00785AF2"/>
    <w:rsid w:val="009F49E2"/>
    <w:rsid w:val="00A4696F"/>
    <w:rsid w:val="00A833F7"/>
    <w:rsid w:val="00B41165"/>
    <w:rsid w:val="00E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132BAB"/>
  <w15:chartTrackingRefBased/>
  <w15:docId w15:val="{BB250906-DAB9-4A16-9E7C-4C76C927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85AF2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85AF2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85AF2"/>
    <w:pPr>
      <w:ind w:left="102"/>
      <w:jc w:val="both"/>
    </w:pPr>
  </w:style>
  <w:style w:type="character" w:styleId="FootnoteReference">
    <w:name w:val="footnote reference"/>
    <w:basedOn w:val="DefaultParagraphFont"/>
    <w:uiPriority w:val="99"/>
    <w:semiHidden/>
    <w:unhideWhenUsed/>
    <w:rsid w:val="00A4696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69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96F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26DFE-2DEF-4591-8A2B-5A47D0A2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Facundo DiNatale</cp:lastModifiedBy>
  <cp:revision>5</cp:revision>
  <dcterms:created xsi:type="dcterms:W3CDTF">2020-07-01T15:09:00Z</dcterms:created>
  <dcterms:modified xsi:type="dcterms:W3CDTF">2020-09-07T21:11:00Z</dcterms:modified>
</cp:coreProperties>
</file>