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1"/>
        <w:tblpPr w:leftFromText="141" w:rightFromText="141" w:horzAnchor="margin" w:tblpXSpec="center" w:tblpY="-792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0"/>
      </w:tblGrid>
      <w:tr w:rsidR="00285279" w:rsidRPr="00921941" w:rsidTr="00921941">
        <w:trPr>
          <w:trHeight w:val="416"/>
        </w:trPr>
        <w:tc>
          <w:tcPr>
            <w:tcW w:w="11340" w:type="dxa"/>
            <w:shd w:val="clear" w:color="auto" w:fill="auto"/>
          </w:tcPr>
          <w:p w:rsidR="00285279" w:rsidRPr="00921941" w:rsidRDefault="00285279" w:rsidP="00285279">
            <w:pPr>
              <w:pStyle w:val="TableParagraph"/>
              <w:spacing w:before="6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Ejemplo de aplicación 3</w:t>
            </w:r>
            <w:r w:rsidR="00D12F59">
              <w:rPr>
                <w:rStyle w:val="EndnoteReference"/>
                <w:rFonts w:ascii="Garamond" w:hAnsi="Garamond"/>
                <w:b/>
                <w:w w:val="105"/>
                <w:sz w:val="24"/>
                <w:szCs w:val="24"/>
                <w:lang w:val="es-ES"/>
              </w:rPr>
              <w:endnoteReference w:id="1"/>
            </w:r>
          </w:p>
          <w:p w:rsidR="00285279" w:rsidRPr="00921941" w:rsidRDefault="00285279" w:rsidP="00285279">
            <w:pPr>
              <w:pStyle w:val="TableParagraph"/>
              <w:spacing w:before="4" w:line="270" w:lineRule="atLeast"/>
              <w:ind w:right="73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Consideración de los hechos posteriores en la preparación de estados contables al 31 de diciembre de 2019</w:t>
            </w:r>
          </w:p>
        </w:tc>
      </w:tr>
      <w:tr w:rsidR="00285279" w:rsidRPr="00921941" w:rsidTr="00285279">
        <w:trPr>
          <w:trHeight w:val="3012"/>
        </w:trPr>
        <w:tc>
          <w:tcPr>
            <w:tcW w:w="11340" w:type="dxa"/>
          </w:tcPr>
          <w:p w:rsidR="00921941" w:rsidRDefault="00285279" w:rsidP="00285279">
            <w:pPr>
              <w:pStyle w:val="TableParagraph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sz w:val="24"/>
                <w:szCs w:val="24"/>
                <w:lang w:val="es-ES"/>
              </w:rPr>
              <w:t xml:space="preserve"> </w:t>
            </w:r>
          </w:p>
          <w:p w:rsidR="00285279" w:rsidRDefault="00921941" w:rsidP="00285279">
            <w:pPr>
              <w:pStyle w:val="TableParagraph"/>
              <w:ind w:left="0"/>
              <w:jc w:val="left"/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</w:pPr>
            <w:r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 xml:space="preserve"> </w:t>
            </w:r>
            <w:r w:rsidR="00285279"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Contexto</w:t>
            </w:r>
          </w:p>
          <w:p w:rsidR="00921941" w:rsidRPr="00921941" w:rsidRDefault="00921941" w:rsidP="00285279">
            <w:pPr>
              <w:pStyle w:val="TableParagraph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:rsidR="00285279" w:rsidRPr="00921941" w:rsidRDefault="00285279" w:rsidP="00285279">
            <w:pPr>
              <w:pStyle w:val="TableParagraph"/>
              <w:spacing w:before="41" w:line="285" w:lineRule="auto"/>
              <w:ind w:left="100"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 administradores de la entidad “B” están evaluando si las consecuencias económicas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y</w:t>
            </w:r>
            <w:r w:rsidRPr="00921941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financieras</w:t>
            </w:r>
            <w:r w:rsidRPr="00921941">
              <w:rPr>
                <w:rFonts w:ascii="Garamond" w:hAnsi="Garamond"/>
                <w:spacing w:val="-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pandemia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tendrán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impactos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adversos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y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significativos sobre las operaciones de la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entidad.</w:t>
            </w:r>
          </w:p>
          <w:p w:rsidR="00285279" w:rsidRPr="00921941" w:rsidRDefault="00285279" w:rsidP="00285279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before="1" w:line="285" w:lineRule="auto"/>
              <w:ind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administradores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llegaran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</w:t>
            </w:r>
            <w:r w:rsidRPr="00921941">
              <w:rPr>
                <w:rFonts w:ascii="Garamond" w:hAnsi="Garamond"/>
                <w:spacing w:val="-2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conclusión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921941">
              <w:rPr>
                <w:rFonts w:ascii="Garamond" w:hAnsi="Garamond"/>
                <w:spacing w:val="-2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tales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 xml:space="preserve">impactos serán adversos y significativos, deberán evaluar si se tratan de </w:t>
            </w: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 xml:space="preserve">hechos posteriores tipo (1)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 xml:space="preserve">o de </w:t>
            </w: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hechos posteriores tipo</w:t>
            </w:r>
            <w:r w:rsidRPr="00921941">
              <w:rPr>
                <w:rFonts w:ascii="Garamond" w:hAnsi="Garamond"/>
                <w:b/>
                <w:spacing w:val="-3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(2)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.</w:t>
            </w:r>
          </w:p>
          <w:p w:rsidR="00285279" w:rsidRPr="00921941" w:rsidRDefault="00285279" w:rsidP="00285279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line="280" w:lineRule="auto"/>
              <w:ind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administradores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llegaran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</w:t>
            </w:r>
            <w:r w:rsidRPr="00921941">
              <w:rPr>
                <w:rFonts w:ascii="Garamond" w:hAnsi="Garamond"/>
                <w:spacing w:val="-2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conclusión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921941">
              <w:rPr>
                <w:rFonts w:ascii="Garamond" w:hAnsi="Garamond"/>
                <w:spacing w:val="-2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tales</w:t>
            </w:r>
            <w:r w:rsidRPr="00921941">
              <w:rPr>
                <w:rFonts w:ascii="Garamond" w:hAnsi="Garamond"/>
                <w:spacing w:val="-2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impactos no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serán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adversos</w:t>
            </w:r>
            <w:r w:rsidRPr="00921941">
              <w:rPr>
                <w:rFonts w:ascii="Garamond" w:hAnsi="Garamond"/>
                <w:spacing w:val="-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y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significativos,</w:t>
            </w:r>
            <w:r w:rsidRPr="00921941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deberán</w:t>
            </w:r>
            <w:r w:rsidRPr="00921941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informar</w:t>
            </w:r>
            <w:r w:rsidRPr="00921941">
              <w:rPr>
                <w:rFonts w:ascii="Garamond" w:hAnsi="Garamond"/>
                <w:spacing w:val="-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tal</w:t>
            </w:r>
            <w:r w:rsidRPr="00921941">
              <w:rPr>
                <w:rFonts w:ascii="Garamond" w:hAnsi="Garamond"/>
                <w:spacing w:val="-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conclusión</w:t>
            </w:r>
            <w:r w:rsidRPr="00921941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</w:t>
            </w:r>
            <w:r w:rsidRPr="00921941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notas.</w:t>
            </w:r>
          </w:p>
          <w:p w:rsidR="00285279" w:rsidRPr="00921941" w:rsidRDefault="00285279" w:rsidP="00285279">
            <w:pPr>
              <w:pStyle w:val="TableParagraph"/>
              <w:spacing w:before="10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:rsidR="00285279" w:rsidRDefault="00285279" w:rsidP="00285279">
            <w:pPr>
              <w:pStyle w:val="TableParagraph"/>
              <w:ind w:left="100"/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Aplicación de juicios por parte de los administradores</w:t>
            </w:r>
          </w:p>
          <w:p w:rsidR="00921941" w:rsidRPr="00921941" w:rsidRDefault="00921941" w:rsidP="00285279">
            <w:pPr>
              <w:pStyle w:val="TableParagraph"/>
              <w:ind w:left="100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:rsidR="00285279" w:rsidRDefault="00285279" w:rsidP="00285279">
            <w:pPr>
              <w:pStyle w:val="TableParagraph"/>
              <w:spacing w:before="44" w:line="283" w:lineRule="auto"/>
              <w:ind w:left="100" w:right="89"/>
              <w:rPr>
                <w:rFonts w:ascii="Garamond" w:hAnsi="Garamond"/>
                <w:w w:val="105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este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caso,</w:t>
            </w:r>
            <w:r w:rsidRPr="00921941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</w:t>
            </w:r>
            <w:r w:rsidRPr="00921941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fecha</w:t>
            </w:r>
            <w:r w:rsidRPr="00921941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aprobación</w:t>
            </w:r>
            <w:r w:rsidRPr="00921941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estados</w:t>
            </w:r>
            <w:r w:rsidRPr="00921941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contables,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administradores de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921941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estiman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921941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esta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situación</w:t>
            </w:r>
            <w:r w:rsidRPr="00921941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no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tendrá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impactos</w:t>
            </w:r>
            <w:r w:rsidRPr="00921941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adversos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y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significativos sobre las operaciones de la</w:t>
            </w:r>
            <w:r w:rsidRPr="00921941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entidad.</w:t>
            </w:r>
          </w:p>
          <w:p w:rsidR="00921941" w:rsidRPr="00921941" w:rsidRDefault="00921941" w:rsidP="00285279">
            <w:pPr>
              <w:pStyle w:val="TableParagraph"/>
              <w:spacing w:before="44" w:line="283" w:lineRule="auto"/>
              <w:ind w:left="100" w:right="89"/>
              <w:rPr>
                <w:rFonts w:ascii="Garamond" w:hAnsi="Garamond"/>
                <w:sz w:val="24"/>
                <w:szCs w:val="24"/>
                <w:lang w:val="es-ES"/>
              </w:rPr>
            </w:pPr>
          </w:p>
        </w:tc>
      </w:tr>
    </w:tbl>
    <w:p w:rsidR="00A833F7" w:rsidRPr="00921941" w:rsidRDefault="00A833F7">
      <w:pPr>
        <w:rPr>
          <w:rFonts w:ascii="Garamond" w:hAnsi="Garamond"/>
          <w:sz w:val="24"/>
          <w:szCs w:val="24"/>
        </w:rPr>
      </w:pPr>
    </w:p>
    <w:tbl>
      <w:tblPr>
        <w:tblStyle w:val="TableNormal1"/>
        <w:tblW w:w="11340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0"/>
      </w:tblGrid>
      <w:tr w:rsidR="00285279" w:rsidRPr="00921941" w:rsidTr="00921941">
        <w:trPr>
          <w:trHeight w:val="514"/>
        </w:trPr>
        <w:tc>
          <w:tcPr>
            <w:tcW w:w="11340" w:type="dxa"/>
            <w:shd w:val="clear" w:color="auto" w:fill="auto"/>
          </w:tcPr>
          <w:p w:rsidR="00285279" w:rsidRPr="00921941" w:rsidRDefault="00285279" w:rsidP="00285279">
            <w:pPr>
              <w:pStyle w:val="TableParagraph"/>
              <w:spacing w:before="6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Ejemplo de Nota sobre hechos posteriores para los estados contables al 31 de diciembre de 2019 de una entidad que es una empresa en marcha</w:t>
            </w:r>
          </w:p>
        </w:tc>
      </w:tr>
      <w:tr w:rsidR="00285279" w:rsidRPr="00921941" w:rsidTr="00285279">
        <w:trPr>
          <w:trHeight w:val="1641"/>
        </w:trPr>
        <w:tc>
          <w:tcPr>
            <w:tcW w:w="11340" w:type="dxa"/>
          </w:tcPr>
          <w:p w:rsidR="00285279" w:rsidRPr="00921941" w:rsidRDefault="00285279" w:rsidP="008502AF">
            <w:pPr>
              <w:pStyle w:val="TableParagraph"/>
              <w:spacing w:before="6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:rsidR="00285279" w:rsidRDefault="00285279" w:rsidP="008502AF">
            <w:pPr>
              <w:pStyle w:val="TableParagraph"/>
              <w:ind w:left="100"/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Nota XXX – Hechos posteriores</w:t>
            </w:r>
          </w:p>
          <w:p w:rsidR="00921941" w:rsidRPr="00921941" w:rsidRDefault="00921941" w:rsidP="008502AF">
            <w:pPr>
              <w:pStyle w:val="TableParagraph"/>
              <w:ind w:left="100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:rsidR="00285279" w:rsidRDefault="00285279" w:rsidP="00285279">
            <w:pPr>
              <w:pStyle w:val="TableParagraph"/>
              <w:spacing w:before="42" w:line="285" w:lineRule="auto"/>
              <w:ind w:left="100" w:right="87"/>
              <w:rPr>
                <w:rFonts w:ascii="Garamond" w:hAnsi="Garamond"/>
                <w:w w:val="105"/>
                <w:sz w:val="24"/>
                <w:szCs w:val="24"/>
                <w:lang w:val="es-ES"/>
              </w:rPr>
            </w:pP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diciembre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2019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se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dio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conocer</w:t>
            </w:r>
            <w:r w:rsidRPr="00921941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aparición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China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un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nuevo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coronavirus SARS-CoV-2</w:t>
            </w:r>
            <w:r w:rsidRPr="00921941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(conocido</w:t>
            </w:r>
            <w:r w:rsidRPr="00921941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como</w:t>
            </w:r>
            <w:r w:rsidRPr="00921941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“COVID-19”)</w:t>
            </w:r>
            <w:r w:rsidRPr="00921941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="00D12F59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,</w:t>
            </w:r>
            <w:r w:rsidRPr="00921941">
              <w:rPr>
                <w:rFonts w:ascii="Garamond" w:hAnsi="Garamond"/>
                <w:spacing w:val="-2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posterioridad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31</w:t>
            </w:r>
            <w:r w:rsidRPr="00921941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diciembre de</w:t>
            </w:r>
            <w:r w:rsidRPr="00921941">
              <w:rPr>
                <w:rFonts w:ascii="Garamond" w:hAnsi="Garamond"/>
                <w:spacing w:val="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2019</w:t>
            </w:r>
            <w:r w:rsidR="00D12F59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,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se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expandió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prácticamente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</w:t>
            </w:r>
            <w:r w:rsidRPr="00921941">
              <w:rPr>
                <w:rFonts w:ascii="Garamond" w:hAnsi="Garamond"/>
                <w:spacing w:val="12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todo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el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mundo.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El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11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marzo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921941">
              <w:rPr>
                <w:rFonts w:ascii="Garamond" w:hAnsi="Garamond"/>
                <w:spacing w:val="10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2020</w:t>
            </w:r>
            <w:r w:rsidRPr="00921941">
              <w:rPr>
                <w:rFonts w:ascii="Garamond" w:hAnsi="Garamond"/>
                <w:spacing w:val="13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921941">
              <w:rPr>
                <w:rFonts w:ascii="Garamond" w:hAnsi="Garamond"/>
                <w:sz w:val="24"/>
                <w:szCs w:val="24"/>
                <w:lang w:val="es-419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OMS declaró al brote de COVID-19 como una pandemia.</w:t>
            </w:r>
            <w:r w:rsid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 xml:space="preserve"> </w:t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Esta situación de emergencia y las medidas adoptadas en los distintos países para hacerle frente han afectado significativamente la actividad económica internacional con impactos diversos en cada país afectado y sectores de negocio. Los administradores de la entidad estiman que esta situación no tendrá un impacto adverso y significativo sobre las operaciones de la entidad.</w:t>
            </w:r>
            <w:r w:rsidR="00E3350F">
              <w:rPr>
                <w:rStyle w:val="EndnoteReference"/>
                <w:rFonts w:ascii="Garamond" w:hAnsi="Garamond"/>
                <w:w w:val="105"/>
                <w:sz w:val="24"/>
                <w:szCs w:val="24"/>
                <w:lang w:val="es-ES"/>
              </w:rPr>
              <w:endnoteReference w:id="2"/>
            </w:r>
            <w:r w:rsidRPr="00921941">
              <w:rPr>
                <w:rFonts w:ascii="Garamond" w:hAnsi="Garamond"/>
                <w:w w:val="105"/>
                <w:sz w:val="24"/>
                <w:szCs w:val="24"/>
                <w:lang w:val="es-ES"/>
              </w:rPr>
              <w:t xml:space="preserve"> Sin embargo, la evolución futura del COVID-19 es muy incierta y no puede predecirse, al igual que las medidas necesarias para contenerlo o tratar su impacto, y, por lo tanto, los resultados, desarrollos y decisiones comerciales reales pueden diferir de los previstos en la declaración prospectiva de los administradores sobre el impacto del COVID-19 en las operaciones de la entidad.</w:t>
            </w:r>
          </w:p>
          <w:p w:rsidR="00921941" w:rsidRPr="00921941" w:rsidRDefault="00921941" w:rsidP="00285279">
            <w:pPr>
              <w:pStyle w:val="TableParagraph"/>
              <w:spacing w:before="42" w:line="285" w:lineRule="auto"/>
              <w:ind w:left="100" w:right="87"/>
              <w:rPr>
                <w:rFonts w:ascii="Garamond" w:hAnsi="Garamond"/>
                <w:sz w:val="24"/>
                <w:szCs w:val="24"/>
                <w:lang w:val="es-ES"/>
              </w:rPr>
            </w:pPr>
          </w:p>
        </w:tc>
      </w:tr>
    </w:tbl>
    <w:p w:rsidR="00285279" w:rsidRPr="00921941" w:rsidRDefault="00285279">
      <w:pPr>
        <w:rPr>
          <w:rFonts w:ascii="Garamond" w:hAnsi="Garamond"/>
          <w:sz w:val="24"/>
          <w:szCs w:val="24"/>
        </w:rPr>
      </w:pPr>
    </w:p>
    <w:sectPr w:rsidR="00285279" w:rsidRPr="00921941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28C" w:rsidRDefault="0044028C" w:rsidP="00D12F59">
      <w:r>
        <w:separator/>
      </w:r>
    </w:p>
  </w:endnote>
  <w:endnote w:type="continuationSeparator" w:id="0">
    <w:p w:rsidR="0044028C" w:rsidRDefault="0044028C" w:rsidP="00D12F59">
      <w:r>
        <w:continuationSeparator/>
      </w:r>
    </w:p>
  </w:endnote>
  <w:endnote w:id="1">
    <w:p w:rsidR="00D12F59" w:rsidRPr="00E3350F" w:rsidRDefault="00D12F59">
      <w:pPr>
        <w:pStyle w:val="EndnoteText"/>
        <w:rPr>
          <w:rFonts w:ascii="Garamond" w:hAnsi="Garamond"/>
        </w:rPr>
      </w:pPr>
      <w:r>
        <w:rPr>
          <w:rStyle w:val="EndnoteReference"/>
        </w:rPr>
        <w:endnoteRef/>
      </w:r>
      <w:r>
        <w:t xml:space="preserve"> </w:t>
      </w:r>
      <w:r w:rsidRPr="00E3350F">
        <w:rPr>
          <w:rFonts w:ascii="Garamond" w:hAnsi="Garamond"/>
        </w:rPr>
        <w:t>Este modelo es un reflejo de la GUÍA SOBRE LA APLICACIÓN DE LAS NORMAS DE CONTABILIDAD Y AUDITORÍA FRENTE A LOS EFECTOS DEL COVID-19 que preparó la Comisión Consultiva en temas de Contabilidad y Auditoría (CCCA). Dicha Comisión estuvo integrada por miembros de CE</w:t>
      </w:r>
      <w:bookmarkStart w:id="0" w:name="_GoBack"/>
      <w:bookmarkEnd w:id="0"/>
      <w:r w:rsidRPr="00E3350F">
        <w:rPr>
          <w:rFonts w:ascii="Garamond" w:hAnsi="Garamond"/>
        </w:rPr>
        <w:t>NCyA y del CPCECABA. La mencionada Guía fue aprobada por Mesa Directiva de FACPCE.</w:t>
      </w:r>
    </w:p>
    <w:p w:rsidR="00E3350F" w:rsidRDefault="00E3350F">
      <w:pPr>
        <w:pStyle w:val="EndnoteText"/>
        <w:rPr>
          <w:rFonts w:ascii="Garamond" w:hAnsi="Garamond"/>
          <w:lang w:val="es-419"/>
        </w:rPr>
      </w:pPr>
    </w:p>
    <w:p w:rsidR="00E3350F" w:rsidRPr="00D12F59" w:rsidRDefault="00E3350F">
      <w:pPr>
        <w:pStyle w:val="EndnoteText"/>
        <w:rPr>
          <w:lang w:val="es-AR"/>
        </w:rPr>
      </w:pPr>
    </w:p>
  </w:endnote>
  <w:endnote w:id="2">
    <w:p w:rsidR="00E3350F" w:rsidRPr="00E3350F" w:rsidRDefault="00E3350F">
      <w:pPr>
        <w:pStyle w:val="EndnoteText"/>
        <w:rPr>
          <w:lang w:val="es-AR"/>
        </w:rPr>
      </w:pPr>
      <w:r>
        <w:rPr>
          <w:rStyle w:val="EndnoteReference"/>
        </w:rPr>
        <w:endnoteRef/>
      </w:r>
      <w:r>
        <w:t xml:space="preserve"> </w:t>
      </w:r>
      <w:r w:rsidRPr="00D12F59">
        <w:rPr>
          <w:rFonts w:ascii="Garamond" w:hAnsi="Garamond"/>
        </w:rPr>
        <w:t>En este punto sería de gran utilidad para el usuario de los Estados Contables que los administradores incluyan una breve mención a las principales líneas de análisis y razonamiento que llevan a esa conclusión.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28C" w:rsidRDefault="0044028C" w:rsidP="00D12F59">
      <w:r>
        <w:separator/>
      </w:r>
    </w:p>
  </w:footnote>
  <w:footnote w:type="continuationSeparator" w:id="0">
    <w:p w:rsidR="0044028C" w:rsidRDefault="0044028C" w:rsidP="00D12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18D2"/>
    <w:multiLevelType w:val="hybridMultilevel"/>
    <w:tmpl w:val="D6E6BF6E"/>
    <w:lvl w:ilvl="0" w:tplc="6EF408F0">
      <w:numFmt w:val="bullet"/>
      <w:lvlText w:val=""/>
      <w:lvlJc w:val="left"/>
      <w:pPr>
        <w:ind w:left="439" w:hanging="339"/>
      </w:pPr>
      <w:rPr>
        <w:rFonts w:ascii="Symbol" w:eastAsia="Symbol" w:hAnsi="Symbol" w:cs="Symbol" w:hint="default"/>
        <w:w w:val="103"/>
        <w:sz w:val="20"/>
        <w:szCs w:val="20"/>
        <w:lang w:val="es-ES" w:eastAsia="en-US" w:bidi="ar-SA"/>
      </w:rPr>
    </w:lvl>
    <w:lvl w:ilvl="1" w:tplc="2FE2614C">
      <w:numFmt w:val="bullet"/>
      <w:lvlText w:val="•"/>
      <w:lvlJc w:val="left"/>
      <w:pPr>
        <w:ind w:left="1193" w:hanging="339"/>
      </w:pPr>
      <w:rPr>
        <w:rFonts w:hint="default"/>
        <w:lang w:val="es-ES" w:eastAsia="en-US" w:bidi="ar-SA"/>
      </w:rPr>
    </w:lvl>
    <w:lvl w:ilvl="2" w:tplc="FE70ABD0">
      <w:numFmt w:val="bullet"/>
      <w:lvlText w:val="•"/>
      <w:lvlJc w:val="left"/>
      <w:pPr>
        <w:ind w:left="1946" w:hanging="339"/>
      </w:pPr>
      <w:rPr>
        <w:rFonts w:hint="default"/>
        <w:lang w:val="es-ES" w:eastAsia="en-US" w:bidi="ar-SA"/>
      </w:rPr>
    </w:lvl>
    <w:lvl w:ilvl="3" w:tplc="C290A888">
      <w:numFmt w:val="bullet"/>
      <w:lvlText w:val="•"/>
      <w:lvlJc w:val="left"/>
      <w:pPr>
        <w:ind w:left="2700" w:hanging="339"/>
      </w:pPr>
      <w:rPr>
        <w:rFonts w:hint="default"/>
        <w:lang w:val="es-ES" w:eastAsia="en-US" w:bidi="ar-SA"/>
      </w:rPr>
    </w:lvl>
    <w:lvl w:ilvl="4" w:tplc="197E6F22">
      <w:numFmt w:val="bullet"/>
      <w:lvlText w:val="•"/>
      <w:lvlJc w:val="left"/>
      <w:pPr>
        <w:ind w:left="3453" w:hanging="339"/>
      </w:pPr>
      <w:rPr>
        <w:rFonts w:hint="default"/>
        <w:lang w:val="es-ES" w:eastAsia="en-US" w:bidi="ar-SA"/>
      </w:rPr>
    </w:lvl>
    <w:lvl w:ilvl="5" w:tplc="FC144A24">
      <w:numFmt w:val="bullet"/>
      <w:lvlText w:val="•"/>
      <w:lvlJc w:val="left"/>
      <w:pPr>
        <w:ind w:left="4207" w:hanging="339"/>
      </w:pPr>
      <w:rPr>
        <w:rFonts w:hint="default"/>
        <w:lang w:val="es-ES" w:eastAsia="en-US" w:bidi="ar-SA"/>
      </w:rPr>
    </w:lvl>
    <w:lvl w:ilvl="6" w:tplc="A2CCE6A6">
      <w:numFmt w:val="bullet"/>
      <w:lvlText w:val="•"/>
      <w:lvlJc w:val="left"/>
      <w:pPr>
        <w:ind w:left="4960" w:hanging="339"/>
      </w:pPr>
      <w:rPr>
        <w:rFonts w:hint="default"/>
        <w:lang w:val="es-ES" w:eastAsia="en-US" w:bidi="ar-SA"/>
      </w:rPr>
    </w:lvl>
    <w:lvl w:ilvl="7" w:tplc="1042F12E">
      <w:numFmt w:val="bullet"/>
      <w:lvlText w:val="•"/>
      <w:lvlJc w:val="left"/>
      <w:pPr>
        <w:ind w:left="5713" w:hanging="339"/>
      </w:pPr>
      <w:rPr>
        <w:rFonts w:hint="default"/>
        <w:lang w:val="es-ES" w:eastAsia="en-US" w:bidi="ar-SA"/>
      </w:rPr>
    </w:lvl>
    <w:lvl w:ilvl="8" w:tplc="34D0800E">
      <w:numFmt w:val="bullet"/>
      <w:lvlText w:val="•"/>
      <w:lvlJc w:val="left"/>
      <w:pPr>
        <w:ind w:left="6467" w:hanging="339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279"/>
    <w:rsid w:val="00227D9F"/>
    <w:rsid w:val="00285279"/>
    <w:rsid w:val="0044028C"/>
    <w:rsid w:val="005265F9"/>
    <w:rsid w:val="00921941"/>
    <w:rsid w:val="00A833F7"/>
    <w:rsid w:val="00D12F59"/>
    <w:rsid w:val="00E3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1CD05A"/>
  <w15:chartTrackingRefBased/>
  <w15:docId w15:val="{0017E754-9001-414D-A319-8F007516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8527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85279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5279"/>
    <w:pPr>
      <w:ind w:left="102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12F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2F59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2F5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12F5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12F59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1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10FC-D6EC-4A3F-B1DC-4840DBA4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Facundo DiNatale</cp:lastModifiedBy>
  <cp:revision>6</cp:revision>
  <dcterms:created xsi:type="dcterms:W3CDTF">2020-07-01T14:47:00Z</dcterms:created>
  <dcterms:modified xsi:type="dcterms:W3CDTF">2020-09-09T16:53:00Z</dcterms:modified>
</cp:coreProperties>
</file>